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u w:val="single"/>
          <w:rtl w:val="0"/>
        </w:rPr>
        <w:t xml:space="preserve">DOCENTES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:   PROF.  VILCA, ANGELA Y PROF.  RIVERO GLORIA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u w:val="single"/>
          <w:rtl w:val="0"/>
        </w:rPr>
        <w:t xml:space="preserve">CLASSROOM</w:t>
      </w: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: CODIGO DE CLASE 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k5m5ncn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CURSO: 3ro 1ra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highlight w:val="white"/>
          <w:u w:val="single"/>
          <w:rtl w:val="0"/>
        </w:rPr>
        <w:t xml:space="preserve">TRABAJO PRÁCTICO N°2  DE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TEMA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EXPLORACIÓN DE TÉCNICAS Y LENGUAJES PARA UNA PRODUCCIÓN ARTÍSTICA.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LEER ATENTAMENTE LAS SIGUIENTES DEFINICIONES; QUE HAY QUE TENER EN CUENTA A LA HORA DE ESCRIBIR UN CUENTO PARA PODER ADAPTARLOS O MODIFICARLOS.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Toda historia tiene tres partes: introducción, desarrollo (nudo) y desenlace.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INTRODUCCION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¿Qué es?  …. En la introducción, presentamos y describimos los personajes, el lugar y el momento donde ocurre nuestra historia.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DESARROLLO: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  En el desarrollo o nudo contamos la trama principal de la historia. ¿Qué problema hay? ¿cómo evoluciona tus personajes? ¿introduce otros nuevos en la historia? ¿Qué hacen?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DESENLACE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: En el desenlace o final contamos como termina la historia. Cuenta como se acaban las tramas y que pasa con los personajes.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3162300" cy="4391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9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CONCEPTOS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ESPACIO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es el medio en el que nos movemos. El espacio que conocemos es tridimensional, es decir, tiene tres dimensiones: anchura, altura y profundidad. Por medio de ellas podemos conocer la forma, la situación y la posición de cualquier cuerpo sólido.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El campo visual queda dividido en dos planos generales, el plano del cielo y el plano de la tierra, separados por el horizonte, que se ve a la altura de los ojos del observador. Cada ser humano percibe su entorno desde un único punto de 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hd w:fill="ffffff" w:val="clear"/>
        <w:spacing w:after="225" w:before="225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LA FORMA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puede definir como la apariencia externa de los cuerpos, ya sean objetos, animales, edificios o seres humanos.</w:t>
      </w:r>
    </w:p>
    <w:p w:rsidR="00000000" w:rsidDel="00000000" w:rsidP="00000000" w:rsidRDefault="00000000" w:rsidRPr="00000000" w14:paraId="00000019">
      <w:pPr>
        <w:shd w:fill="ffffff" w:val="clear"/>
        <w:spacing w:after="225" w:before="225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Cada forma queda determinada por diferentes cualidades como son: el color, el tamaño, la textura y la estructura.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225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FORMAS PLANAS: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tienen dos dimensiones, como las hojas de papel,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o pueden ser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bidimensionales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(largo y ancho).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FORMAS VOLUMÉTRICAS: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aparentan tener tres dimensiones, por ejemplo, una pelota,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o0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tridimensionale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 (largo, ancho y altura).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LUZ FRONTAL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: situada delante del objeto. 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Luz lateral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: situada a un lado del objeto.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Contraluz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: situada detrás del motivo. 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Luz cenital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: situada desde arriba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5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225" w:before="225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Buscamos por YOUTUBE, ESTRUCTURA DRAMATICA- video didactico nivel secundario.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recordar su definicion?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https://youtu.be/8jKcfWsHPQI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1-GRUPO A-</w:t>
      </w:r>
      <w:r w:rsidDel="00000000" w:rsidR="00000000" w:rsidRPr="00000000">
        <w:rPr>
          <w:rFonts w:ascii="Arial" w:cs="Arial" w:eastAsia="Arial" w:hAnsi="Arial"/>
          <w:color w:val="c00000"/>
          <w:rtl w:val="0"/>
        </w:rPr>
        <w:t xml:space="preserve">adjuntar el texto elegido por classroom.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Una vez seleccionado el cuento, poesia, etc, empieza a escribir el cuento grupalmente, teniendo en cuenta las partes del cuento y los elementos de la estructura dramatical.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Grupo A: 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Grupo 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(TEXTO SELECCIONADO PINOCHO)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225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3-GRUPO B-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Dibuja los diferentes personajes y escenas del cuento,  inicio, desarrollo y desenlace.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5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highlight w:val="white"/>
          <w:u w:val="single"/>
          <w:rtl w:val="0"/>
        </w:rPr>
        <w:t xml:space="preserve">GRUPO A.</w:t>
      </w:r>
      <w:r w:rsidDel="00000000" w:rsidR="00000000" w:rsidRPr="00000000">
        <w:rPr>
          <w:rFonts w:ascii="Arial" w:cs="Arial" w:eastAsia="Arial" w:hAnsi="Arial"/>
          <w:color w:val="c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FECHA DE ENTREGA DEL TEXTO LUNES 29- 03- 21 HASTA HORAS 18 POR CLASSROOM.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8jKcfWsHP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