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B0" w:rsidRDefault="004546B0" w:rsidP="004546B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Escuela de Comercio N°1 "Prof. José A. Casas"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Espacio Curricular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 xml:space="preserve">Macroeconomía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Curso: 5° División: 1°, 2°, 3°, 4° y 5°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Profesores: </w:t>
      </w:r>
      <w:r>
        <w:rPr>
          <w:sz w:val="23"/>
          <w:szCs w:val="23"/>
        </w:rPr>
        <w:t xml:space="preserve">Miriam Nieva - Susana Choque – </w:t>
      </w:r>
      <w:proofErr w:type="spellStart"/>
      <w:r>
        <w:rPr>
          <w:sz w:val="23"/>
          <w:szCs w:val="23"/>
        </w:rPr>
        <w:t>Peloc</w:t>
      </w:r>
      <w:proofErr w:type="spellEnd"/>
      <w:r>
        <w:rPr>
          <w:sz w:val="23"/>
          <w:szCs w:val="23"/>
        </w:rPr>
        <w:t xml:space="preserve"> René - Walter Quiroz - Mario Montero </w:t>
      </w:r>
    </w:p>
    <w:p w:rsidR="004546B0" w:rsidRPr="00BE7B1E" w:rsidRDefault="00DF63FB" w:rsidP="004546B0">
      <w:pPr>
        <w:spacing w:after="167"/>
        <w:jc w:val="center"/>
        <w:rPr>
          <w:rFonts w:ascii="Arial" w:eastAsia="Arial" w:hAnsi="Arial" w:cs="Arial"/>
          <w:b/>
          <w:sz w:val="24"/>
          <w:u w:val="single" w:color="000000"/>
        </w:rPr>
      </w:pPr>
      <w:r>
        <w:rPr>
          <w:rFonts w:ascii="Arial" w:eastAsia="Arial" w:hAnsi="Arial" w:cs="Arial"/>
          <w:b/>
          <w:sz w:val="24"/>
          <w:u w:val="single" w:color="000000"/>
        </w:rPr>
        <w:t>Trabajo Práctico N° 6</w:t>
      </w:r>
    </w:p>
    <w:p w:rsidR="004546B0" w:rsidRPr="006812CB" w:rsidRDefault="004546B0" w:rsidP="004546B0">
      <w:pPr>
        <w:pStyle w:val="Default"/>
        <w:spacing w:before="120" w:after="12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Tema: </w:t>
      </w:r>
      <w:r w:rsidRPr="00896F49">
        <w:rPr>
          <w:b/>
          <w:bCs/>
          <w:sz w:val="23"/>
          <w:szCs w:val="23"/>
        </w:rPr>
        <w:t>La Distribución del Ingreso</w:t>
      </w:r>
    </w:p>
    <w:p w:rsidR="004546B0" w:rsidRDefault="004546B0" w:rsidP="004546B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Cuando se estudió la división de la economía encontramos que lo podemos dividir en Microeconomía y Macroeconomía, siendo este último el que nos atañe.  En el presente trabajo tomaremos conceptos de la microeconomía para conocer cómo se distribuye el ingreso en nuestra familia.</w:t>
      </w:r>
    </w:p>
    <w:p w:rsidR="004546B0" w:rsidRDefault="004546B0" w:rsidP="004546B0">
      <w:pPr>
        <w:pStyle w:val="Default"/>
        <w:spacing w:before="120" w:after="12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Consignas de trabajo:</w:t>
      </w:r>
    </w:p>
    <w:p w:rsidR="004546B0" w:rsidRPr="00DF63FB" w:rsidRDefault="004546B0" w:rsidP="004546B0">
      <w:pPr>
        <w:pStyle w:val="Prrafodelista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 Narrow" w:hAnsi="Arial Narrow" w:cs="Calibri"/>
          <w:i/>
          <w:lang w:val="es-MX"/>
        </w:rPr>
      </w:pPr>
      <w:r w:rsidRPr="00DF63FB">
        <w:rPr>
          <w:rFonts w:ascii="Arial Narrow" w:hAnsi="Arial Narrow" w:cs="Calibri"/>
          <w:i/>
          <w:lang w:val="es-MX"/>
        </w:rPr>
        <w:t>En el siguiente link usted encontrara información para responder a las interrogantes que a continuación detallamos.</w:t>
      </w:r>
    </w:p>
    <w:p w:rsidR="004546B0" w:rsidRPr="00DF63FB" w:rsidRDefault="004D6FF1" w:rsidP="004546B0">
      <w:pPr>
        <w:ind w:left="360"/>
        <w:jc w:val="both"/>
        <w:rPr>
          <w:rFonts w:ascii="Arial Narrow" w:hAnsi="Arial Narrow" w:cs="Calibri"/>
          <w:i/>
          <w:lang w:val="es-MX"/>
        </w:rPr>
      </w:pPr>
      <w:hyperlink r:id="rId8" w:history="1">
        <w:r w:rsidR="004546B0" w:rsidRPr="00DF63FB">
          <w:rPr>
            <w:rStyle w:val="Hipervnculo"/>
            <w:rFonts w:ascii="Arial Narrow" w:hAnsi="Arial Narrow" w:cs="Calibri"/>
            <w:i/>
            <w:lang w:val="es-MX"/>
          </w:rPr>
          <w:t>https://www.indec.gob.ar/ftp/cuadros/sociedad/preguntas_frecuentes_cba_cbt.pdf</w:t>
        </w:r>
      </w:hyperlink>
    </w:p>
    <w:p w:rsidR="004546B0" w:rsidRPr="00DF63FB" w:rsidRDefault="004546B0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 w:rsidRPr="00DF63FB">
        <w:rPr>
          <w:rFonts w:ascii="Arial Narrow" w:hAnsi="Arial Narrow" w:cs="Calibri"/>
          <w:i/>
          <w:lang w:val="es-MX"/>
        </w:rPr>
        <w:t>Muestre la diferencia que existe entre la Canasta Básica Alimentaria (CBA) y la Canasta Básica Total (CBT).</w:t>
      </w:r>
    </w:p>
    <w:p w:rsidR="004546B0" w:rsidRPr="00DF63FB" w:rsidRDefault="004546B0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 w:rsidRPr="00DF63FB">
        <w:rPr>
          <w:rFonts w:ascii="Arial Narrow" w:hAnsi="Arial Narrow" w:cs="Calibri"/>
          <w:i/>
          <w:lang w:val="es-MX"/>
        </w:rPr>
        <w:t>En un cuadro enumere los componentes de cada canasta.</w:t>
      </w:r>
    </w:p>
    <w:p w:rsidR="004546B0" w:rsidRPr="00DF63FB" w:rsidRDefault="004546B0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 w:rsidRPr="00DF63FB">
        <w:rPr>
          <w:rFonts w:ascii="Arial Narrow" w:hAnsi="Arial Narrow" w:cs="Calibri"/>
          <w:i/>
          <w:lang w:val="es-MX"/>
        </w:rPr>
        <w:t xml:space="preserve">En una línea de tiempo mensual muestre la evolución del valor de </w:t>
      </w:r>
      <w:r w:rsidR="00463DE3">
        <w:rPr>
          <w:rFonts w:ascii="Arial Narrow" w:hAnsi="Arial Narrow" w:cs="Calibri"/>
          <w:i/>
          <w:lang w:val="es-MX"/>
        </w:rPr>
        <w:t>la canasta familiar desde Marzo de 2020 a Marzo de 2021</w:t>
      </w:r>
      <w:r w:rsidRPr="00DF63FB">
        <w:rPr>
          <w:rFonts w:ascii="Arial Narrow" w:hAnsi="Arial Narrow" w:cs="Calibri"/>
          <w:i/>
          <w:lang w:val="es-MX"/>
        </w:rPr>
        <w:t>. Investigue el ingreso necesario para no ser considerado pobre e indigente.  El siguiente link le será de utilidad.</w:t>
      </w:r>
    </w:p>
    <w:p w:rsidR="004546B0" w:rsidRPr="00DF63FB" w:rsidRDefault="004D6FF1" w:rsidP="004546B0">
      <w:pPr>
        <w:pStyle w:val="Prrafodelista"/>
        <w:ind w:left="360"/>
        <w:jc w:val="both"/>
        <w:rPr>
          <w:rFonts w:ascii="Arial Narrow" w:hAnsi="Arial Narrow" w:cs="Calibri"/>
          <w:i/>
          <w:lang w:val="es-MX"/>
        </w:rPr>
      </w:pPr>
      <w:hyperlink r:id="rId9" w:history="1">
        <w:r w:rsidR="004546B0" w:rsidRPr="00DF63FB">
          <w:rPr>
            <w:rStyle w:val="Hipervnculo"/>
            <w:rFonts w:ascii="Arial Narrow" w:hAnsi="Arial Narrow" w:cs="Calibri"/>
            <w:i/>
            <w:lang w:val="es-MX"/>
          </w:rPr>
          <w:t>https://www.indec.gob.ar/uploads/informesdeprensa/canasta_09_20441EFD2654.pdf</w:t>
        </w:r>
      </w:hyperlink>
    </w:p>
    <w:p w:rsidR="004546B0" w:rsidRPr="00DF63FB" w:rsidRDefault="004546B0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 w:rsidRPr="00DF63FB">
        <w:rPr>
          <w:rFonts w:ascii="Arial Narrow" w:hAnsi="Arial Narrow" w:cs="Calibri"/>
          <w:i/>
          <w:lang w:val="es-MX"/>
        </w:rPr>
        <w:t>Realice la canasta básica total (CBT) según los ingresos y gastos de su familia, solo enumerar y determinar en porcentajes según el ingreso de la familia y especificar si se cubren las necesidades de su familia.</w:t>
      </w:r>
    </w:p>
    <w:p w:rsidR="004546B0" w:rsidRDefault="004546B0" w:rsidP="004546B0">
      <w:pPr>
        <w:jc w:val="both"/>
        <w:rPr>
          <w:lang w:val="es-MX"/>
        </w:rPr>
      </w:pPr>
      <w:r w:rsidRPr="00754FA5">
        <w:rPr>
          <w:lang w:val="es-MX"/>
        </w:rPr>
        <w:t xml:space="preserve">Por ejemplo si su familia consume durante el mes </w:t>
      </w:r>
      <w:r>
        <w:rPr>
          <w:lang w:val="es-MX"/>
        </w:rPr>
        <w:t>gaseosa, jugos, bebidas alcohólicas, aguas, etc. q</w:t>
      </w:r>
      <w:r w:rsidR="007C39D5">
        <w:rPr>
          <w:lang w:val="es-MX"/>
        </w:rPr>
        <w:t>ue sumados hacen un total de $ 2</w:t>
      </w:r>
      <w:r w:rsidR="00463DE3">
        <w:rPr>
          <w:lang w:val="es-MX"/>
        </w:rPr>
        <w:t>2</w:t>
      </w:r>
      <w:r>
        <w:rPr>
          <w:lang w:val="es-MX"/>
        </w:rPr>
        <w:t>00 durante el mes y el ingre</w:t>
      </w:r>
      <w:r w:rsidR="007C39D5">
        <w:rPr>
          <w:lang w:val="es-MX"/>
        </w:rPr>
        <w:t>so de la familia total es de $ 6</w:t>
      </w:r>
      <w:r>
        <w:rPr>
          <w:lang w:val="es-MX"/>
        </w:rPr>
        <w:t>0000, en bebidas gastan un 3,75 % del total del ingreso.  Los cálculos que realice son los siguientes.</w:t>
      </w:r>
    </w:p>
    <w:p w:rsidR="004546B0" w:rsidRDefault="004546B0" w:rsidP="004546B0">
      <w:pPr>
        <w:spacing w:after="0" w:line="240" w:lineRule="auto"/>
        <w:ind w:left="2832"/>
        <w:rPr>
          <w:u w:val="single"/>
          <w:lang w:val="es-MX"/>
        </w:rPr>
      </w:pPr>
      <w:r w:rsidRPr="00754FA5">
        <w:rPr>
          <w:u w:val="single"/>
          <w:lang w:val="es-MX"/>
        </w:rPr>
        <w:t>Regla de Tres Simple</w:t>
      </w:r>
    </w:p>
    <w:p w:rsidR="004546B0" w:rsidRPr="00754FA5" w:rsidRDefault="004546B0" w:rsidP="004546B0">
      <w:pPr>
        <w:spacing w:after="0" w:line="240" w:lineRule="auto"/>
        <w:ind w:left="2832"/>
        <w:rPr>
          <w:u w:val="single"/>
          <w:lang w:val="es-MX"/>
        </w:rPr>
      </w:pPr>
    </w:p>
    <w:p w:rsidR="004546B0" w:rsidRDefault="00DF63FB" w:rsidP="004546B0">
      <w:pPr>
        <w:ind w:left="2832"/>
        <w:rPr>
          <w:lang w:val="es-MX"/>
        </w:rPr>
      </w:pPr>
      <w:r>
        <w:rPr>
          <w:lang w:val="es-MX"/>
        </w:rPr>
        <w:t>$ 6</w:t>
      </w:r>
      <w:r w:rsidR="004546B0">
        <w:rPr>
          <w:lang w:val="es-MX"/>
        </w:rPr>
        <w:t>0000 ----------------------- 100 %</w:t>
      </w:r>
    </w:p>
    <w:p w:rsidR="004546B0" w:rsidRDefault="007C39D5" w:rsidP="004546B0">
      <w:pPr>
        <w:ind w:left="2832"/>
        <w:rPr>
          <w:lang w:val="es-MX"/>
        </w:rPr>
      </w:pPr>
      <w:r>
        <w:rPr>
          <w:lang w:val="es-MX"/>
        </w:rPr>
        <w:t>$  22</w:t>
      </w:r>
      <w:r w:rsidR="004546B0">
        <w:rPr>
          <w:lang w:val="es-MX"/>
        </w:rPr>
        <w:t>00 ------------------------ X %</w:t>
      </w:r>
    </w:p>
    <w:p w:rsidR="004546B0" w:rsidRDefault="004546B0" w:rsidP="004546B0">
      <w:pPr>
        <w:spacing w:after="0" w:line="240" w:lineRule="auto"/>
        <w:ind w:left="2832" w:firstLine="709"/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4743E" wp14:editId="33AC45AB">
                <wp:simplePos x="0" y="0"/>
                <wp:positionH relativeFrom="column">
                  <wp:posOffset>2291715</wp:posOffset>
                </wp:positionH>
                <wp:positionV relativeFrom="paragraph">
                  <wp:posOffset>165735</wp:posOffset>
                </wp:positionV>
                <wp:extent cx="755650" cy="0"/>
                <wp:effectExtent l="0" t="0" r="2540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45pt,13.05pt" to="239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7C39D5">
        <w:rPr>
          <w:lang w:val="es-MX"/>
        </w:rPr>
        <w:t>$ 2200 x 100%   = 3.66</w:t>
      </w:r>
      <w:r>
        <w:rPr>
          <w:lang w:val="es-MX"/>
        </w:rPr>
        <w:t xml:space="preserve"> %</w:t>
      </w:r>
    </w:p>
    <w:p w:rsidR="004546B0" w:rsidRDefault="007C39D5" w:rsidP="004546B0">
      <w:pPr>
        <w:spacing w:after="0" w:line="240" w:lineRule="auto"/>
        <w:ind w:left="2832" w:firstLine="709"/>
        <w:rPr>
          <w:lang w:val="es-MX"/>
        </w:rPr>
      </w:pPr>
      <w:r>
        <w:rPr>
          <w:lang w:val="es-MX"/>
        </w:rPr>
        <w:t xml:space="preserve">    $ 6</w:t>
      </w:r>
      <w:r w:rsidR="004546B0">
        <w:rPr>
          <w:lang w:val="es-MX"/>
        </w:rPr>
        <w:t>0000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Y así van obteniendo el porcentaje que le corresponde a cada uno de los ítems de la canasta familiar, si hay sobrante todo eso sería el ahorro de la familia.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A modo de conocer un poco más sobre cómo se distribuye la riqueza, observar el siguiente video explicativo de cómo se distribuye la riqueza en el mundo.</w:t>
      </w:r>
    </w:p>
    <w:p w:rsidR="004546B0" w:rsidRPr="006367C8" w:rsidRDefault="004546B0" w:rsidP="004546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367C8">
        <w:rPr>
          <w:rFonts w:ascii="Calibri" w:hAnsi="Calibri" w:cs="Calibri"/>
          <w:b/>
          <w:bCs/>
          <w:color w:val="000000"/>
          <w:sz w:val="23"/>
          <w:szCs w:val="23"/>
        </w:rPr>
        <w:t>Presentación:</w:t>
      </w:r>
    </w:p>
    <w:p w:rsidR="004546B0" w:rsidRPr="006367C8" w:rsidRDefault="004546B0" w:rsidP="004546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367C8">
        <w:rPr>
          <w:rFonts w:ascii="Calibri" w:hAnsi="Calibri" w:cs="Calibri"/>
          <w:color w:val="000000"/>
          <w:sz w:val="23"/>
          <w:szCs w:val="23"/>
        </w:rPr>
        <w:t xml:space="preserve">El presente Trabajo Práctico deberá ser realizado en forma: </w:t>
      </w:r>
    </w:p>
    <w:p w:rsidR="004546B0" w:rsidRPr="006367C8" w:rsidRDefault="004546B0" w:rsidP="004546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367C8">
        <w:rPr>
          <w:rFonts w:ascii="Calibri" w:hAnsi="Calibri" w:cs="Calibri"/>
          <w:color w:val="000000"/>
          <w:sz w:val="23"/>
          <w:szCs w:val="23"/>
        </w:rPr>
        <w:t xml:space="preserve">● Manuscrita con letra de imprenta legible. </w:t>
      </w:r>
    </w:p>
    <w:p w:rsidR="004546B0" w:rsidRPr="006367C8" w:rsidRDefault="004546B0" w:rsidP="004546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367C8">
        <w:rPr>
          <w:rFonts w:ascii="Calibri" w:hAnsi="Calibri" w:cs="Calibri"/>
          <w:color w:val="000000"/>
          <w:sz w:val="23"/>
          <w:szCs w:val="23"/>
        </w:rPr>
        <w:t xml:space="preserve">● Cada hoja debe contener: Nombre y Apellido, Curso, División y Turno. </w:t>
      </w:r>
    </w:p>
    <w:p w:rsidR="004546B0" w:rsidRPr="006367C8" w:rsidRDefault="004546B0" w:rsidP="004546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367C8">
        <w:rPr>
          <w:rFonts w:ascii="Calibri" w:hAnsi="Calibri" w:cs="Calibri"/>
          <w:b/>
          <w:bCs/>
          <w:color w:val="000000"/>
          <w:sz w:val="23"/>
          <w:szCs w:val="23"/>
        </w:rPr>
        <w:t xml:space="preserve">Correo electrónico de los Profesores: </w:t>
      </w:r>
    </w:p>
    <w:p w:rsidR="004546B0" w:rsidRDefault="004546B0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6367C8">
        <w:rPr>
          <w:rFonts w:ascii="Calibri" w:hAnsi="Calibri" w:cs="Calibri"/>
          <w:b/>
          <w:bCs/>
          <w:color w:val="000000"/>
        </w:rPr>
        <w:t xml:space="preserve">Prof. </w:t>
      </w:r>
      <w:proofErr w:type="spellStart"/>
      <w:r w:rsidRPr="006367C8">
        <w:rPr>
          <w:rFonts w:ascii="Calibri" w:hAnsi="Calibri" w:cs="Calibri"/>
          <w:b/>
          <w:bCs/>
          <w:color w:val="000000"/>
        </w:rPr>
        <w:t>Pelo</w:t>
      </w:r>
      <w:r>
        <w:rPr>
          <w:rFonts w:ascii="Calibri" w:hAnsi="Calibri" w:cs="Calibri"/>
          <w:b/>
          <w:bCs/>
          <w:color w:val="000000"/>
        </w:rPr>
        <w:t>c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René -&gt; rgpeloc@hotmail.com</w:t>
      </w:r>
      <w:bookmarkStart w:id="0" w:name="_GoBack"/>
      <w:bookmarkEnd w:id="0"/>
    </w:p>
    <w:p w:rsidR="004546B0" w:rsidRDefault="004546B0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6367C8">
        <w:rPr>
          <w:rFonts w:ascii="Calibri" w:hAnsi="Calibri" w:cs="Calibri"/>
          <w:b/>
          <w:bCs/>
          <w:color w:val="000000"/>
        </w:rPr>
        <w:t>Prof. Susana Choque -</w:t>
      </w:r>
      <w:r>
        <w:rPr>
          <w:rFonts w:ascii="Calibri" w:hAnsi="Calibri" w:cs="Calibri"/>
          <w:b/>
          <w:bCs/>
          <w:color w:val="000000"/>
        </w:rPr>
        <w:t>&gt; elizabethvanesa18@gmail.com</w:t>
      </w:r>
    </w:p>
    <w:p w:rsidR="004546B0" w:rsidRDefault="004546B0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6367C8">
        <w:rPr>
          <w:rFonts w:ascii="Calibri" w:hAnsi="Calibri" w:cs="Calibri"/>
          <w:b/>
          <w:bCs/>
          <w:color w:val="000000"/>
        </w:rPr>
        <w:lastRenderedPageBreak/>
        <w:t>Prof. Miriam Nieva</w:t>
      </w:r>
      <w:r>
        <w:rPr>
          <w:rFonts w:ascii="Calibri" w:hAnsi="Calibri" w:cs="Calibri"/>
          <w:b/>
          <w:bCs/>
          <w:color w:val="000000"/>
        </w:rPr>
        <w:t xml:space="preserve"> -&gt; nievatareascom1@gmail.com</w:t>
      </w:r>
    </w:p>
    <w:p w:rsidR="004546B0" w:rsidRDefault="004546B0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6367C8">
        <w:rPr>
          <w:rFonts w:ascii="Calibri" w:hAnsi="Calibri" w:cs="Calibri"/>
          <w:b/>
          <w:bCs/>
          <w:color w:val="000000"/>
        </w:rPr>
        <w:t>Prof. Walter Quiroz -&gt;</w:t>
      </w:r>
      <w:r>
        <w:rPr>
          <w:rFonts w:ascii="Calibri" w:hAnsi="Calibri" w:cs="Calibri"/>
          <w:b/>
          <w:bCs/>
          <w:color w:val="000000"/>
        </w:rPr>
        <w:t xml:space="preserve"> waltervictorquiroz@gmail.com</w:t>
      </w:r>
    </w:p>
    <w:p w:rsidR="004546B0" w:rsidRDefault="004546B0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AC1027" w:rsidRDefault="00AC1027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AC1027" w:rsidRDefault="00AC1027" w:rsidP="004546B0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4546B0" w:rsidRPr="009C4BFF" w:rsidRDefault="00AC1027" w:rsidP="004546B0">
      <w:pPr>
        <w:rPr>
          <w:b/>
          <w:u w:val="single"/>
          <w:lang w:val="es-MX"/>
        </w:rPr>
      </w:pPr>
      <w:r w:rsidRPr="009C4BFF">
        <w:rPr>
          <w:rFonts w:ascii="Calibri" w:hAnsi="Calibri" w:cs="Calibri"/>
          <w:b/>
          <w:bCs/>
          <w:color w:val="000000"/>
          <w:u w:val="single"/>
        </w:rPr>
        <w:t xml:space="preserve"> </w:t>
      </w:r>
      <w:r w:rsidR="004546B0" w:rsidRPr="009C4BFF">
        <w:rPr>
          <w:rFonts w:ascii="Calibri" w:hAnsi="Calibri" w:cs="Calibri"/>
          <w:b/>
          <w:bCs/>
          <w:color w:val="000000"/>
          <w:u w:val="single"/>
        </w:rPr>
        <w:t>MA</w:t>
      </w:r>
      <w:r w:rsidR="004546B0" w:rsidRPr="009C4BFF">
        <w:rPr>
          <w:b/>
          <w:u w:val="single"/>
          <w:lang w:val="es-MX"/>
        </w:rPr>
        <w:t>RCO TEÓRICO</w:t>
      </w:r>
    </w:p>
    <w:p w:rsidR="004546B0" w:rsidRDefault="004546B0" w:rsidP="004546B0">
      <w:pPr>
        <w:spacing w:after="0" w:line="240" w:lineRule="auto"/>
        <w:rPr>
          <w:lang w:val="es-MX"/>
        </w:rPr>
      </w:pPr>
    </w:p>
    <w:p w:rsidR="004546B0" w:rsidRPr="009C399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 xml:space="preserve">La </w:t>
      </w:r>
      <w:r w:rsidRPr="009C3990">
        <w:rPr>
          <w:b/>
          <w:lang w:val="es-MX"/>
        </w:rPr>
        <w:t>canasta básica alimentaria (CBA)</w:t>
      </w:r>
      <w:r w:rsidRPr="009C3990">
        <w:rPr>
          <w:lang w:val="es-MX"/>
        </w:rPr>
        <w:t xml:space="preserve"> es el conjunto de alimentos y bebidas que satisfacen requerimientos</w:t>
      </w:r>
      <w:r>
        <w:rPr>
          <w:lang w:val="es-MX"/>
        </w:rPr>
        <w:t xml:space="preserve"> </w:t>
      </w:r>
      <w:r w:rsidRPr="009C3990">
        <w:rPr>
          <w:lang w:val="es-MX"/>
        </w:rPr>
        <w:t xml:space="preserve">nutricionales, </w:t>
      </w:r>
      <w:r w:rsidR="003E4646" w:rsidRPr="009C3990">
        <w:rPr>
          <w:lang w:val="es-MX"/>
        </w:rPr>
        <w:t>kilo calóricos</w:t>
      </w:r>
      <w:r w:rsidRPr="009C3990">
        <w:rPr>
          <w:lang w:val="es-MX"/>
        </w:rPr>
        <w:t xml:space="preserve"> y proteicos, cuya composición refleja los hábitos de consumo</w:t>
      </w:r>
      <w:r>
        <w:rPr>
          <w:lang w:val="es-MX"/>
        </w:rPr>
        <w:t xml:space="preserve"> </w:t>
      </w:r>
      <w:r w:rsidRPr="009C3990">
        <w:rPr>
          <w:lang w:val="es-MX"/>
        </w:rPr>
        <w:t>de una población de referencia, es decir, un grupo de hogares que cubre con su consumo dichas</w:t>
      </w:r>
      <w:r>
        <w:rPr>
          <w:lang w:val="es-MX"/>
        </w:rPr>
        <w:t xml:space="preserve"> </w:t>
      </w:r>
      <w:r w:rsidRPr="009C3990">
        <w:rPr>
          <w:lang w:val="es-MX"/>
        </w:rPr>
        <w:t>necesidades alimentarias.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>El valor de la CBA es utilizado en la Argentina, con fines estadísticos, como referencia para establecer</w:t>
      </w:r>
      <w:r>
        <w:rPr>
          <w:lang w:val="es-MX"/>
        </w:rPr>
        <w:t xml:space="preserve"> </w:t>
      </w:r>
      <w:r w:rsidRPr="009C3990">
        <w:rPr>
          <w:lang w:val="es-MX"/>
        </w:rPr>
        <w:t>la línea de indigencia (LI), comúnmente conocida como pobreza extrema. El concepto de línea de indigencia</w:t>
      </w:r>
      <w:r>
        <w:rPr>
          <w:lang w:val="es-MX"/>
        </w:rPr>
        <w:t xml:space="preserve"> </w:t>
      </w:r>
      <w:r w:rsidRPr="009C3990">
        <w:rPr>
          <w:lang w:val="es-MX"/>
        </w:rPr>
        <w:t>procura establecer si los hogares cuentan con ingresos suficientes para cubrir una canasta</w:t>
      </w:r>
      <w:r>
        <w:rPr>
          <w:lang w:val="es-MX"/>
        </w:rPr>
        <w:t xml:space="preserve"> </w:t>
      </w:r>
      <w:r w:rsidRPr="009C3990">
        <w:rPr>
          <w:lang w:val="es-MX"/>
        </w:rPr>
        <w:t>básica de alimentos capaz de satisfacer un umbral mínimo de necesidades energéticas y proteicas.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>La CBA se define sobre la base de dos criterios. En primer lugar, que su valor monetario permita comprar</w:t>
      </w:r>
      <w:r>
        <w:rPr>
          <w:lang w:val="es-MX"/>
        </w:rPr>
        <w:t xml:space="preserve"> </w:t>
      </w:r>
      <w:r w:rsidRPr="009C3990">
        <w:rPr>
          <w:lang w:val="es-MX"/>
        </w:rPr>
        <w:t>los alimentos necesarios para alcanzar los requerimientos de energía, expresados en kilocalorías</w:t>
      </w:r>
      <w:r>
        <w:rPr>
          <w:lang w:val="es-MX"/>
        </w:rPr>
        <w:t xml:space="preserve"> </w:t>
      </w:r>
      <w:r w:rsidRPr="009C3990">
        <w:rPr>
          <w:lang w:val="es-MX"/>
        </w:rPr>
        <w:t>(kcal), de acuerdo con la edad, el sexo y el nivel de actividad física de las personas.</w:t>
      </w:r>
      <w:r>
        <w:rPr>
          <w:lang w:val="es-MX"/>
        </w:rPr>
        <w:t xml:space="preserve"> </w:t>
      </w:r>
      <w:r w:rsidRPr="009C3990">
        <w:rPr>
          <w:lang w:val="es-MX"/>
        </w:rPr>
        <w:t>En segundo lugar, es necesario que dicha canasta cumpla con cierto equilibrio nutricional que asegure</w:t>
      </w:r>
      <w:r>
        <w:rPr>
          <w:lang w:val="es-MX"/>
        </w:rPr>
        <w:t xml:space="preserve"> </w:t>
      </w:r>
      <w:r w:rsidRPr="009C3990">
        <w:rPr>
          <w:lang w:val="es-MX"/>
        </w:rPr>
        <w:t>una adecuada calidad de la dieta. Para eso, se evalúa qué nutrientes aportan esas kcal, es decir, se</w:t>
      </w:r>
      <w:r>
        <w:rPr>
          <w:lang w:val="es-MX"/>
        </w:rPr>
        <w:t xml:space="preserve"> </w:t>
      </w:r>
      <w:r w:rsidRPr="009C3990">
        <w:rPr>
          <w:lang w:val="es-MX"/>
        </w:rPr>
        <w:t>contempla la participación de proteínas, carbohidratos y grasas.</w:t>
      </w:r>
      <w:r>
        <w:rPr>
          <w:lang w:val="es-MX"/>
        </w:rPr>
        <w:t xml:space="preserve"> </w:t>
      </w:r>
      <w:r w:rsidRPr="009C3990">
        <w:rPr>
          <w:lang w:val="es-MX"/>
        </w:rPr>
        <w:t>Para la adopción de ambos criterios –requerimientos energéticos y equilibrio nutricional– se toman</w:t>
      </w:r>
      <w:r>
        <w:rPr>
          <w:lang w:val="es-MX"/>
        </w:rPr>
        <w:t xml:space="preserve"> </w:t>
      </w:r>
      <w:r w:rsidRPr="009C3990">
        <w:rPr>
          <w:lang w:val="es-MX"/>
        </w:rPr>
        <w:t>como referencia las recomendaciones de la Organización de las Naciones Unidas para la Alimentación</w:t>
      </w:r>
      <w:r>
        <w:rPr>
          <w:lang w:val="es-MX"/>
        </w:rPr>
        <w:t xml:space="preserve"> </w:t>
      </w:r>
      <w:r w:rsidRPr="009C3990">
        <w:rPr>
          <w:lang w:val="es-MX"/>
        </w:rPr>
        <w:t>y la Agricultura (FAO) y la Organización Mundial de la Salud (OMS).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 xml:space="preserve">La </w:t>
      </w:r>
      <w:r w:rsidRPr="009C3990">
        <w:rPr>
          <w:b/>
          <w:lang w:val="es-MX"/>
        </w:rPr>
        <w:t>canasta básica total (CBT)</w:t>
      </w:r>
      <w:r w:rsidRPr="009C3990">
        <w:rPr>
          <w:lang w:val="es-MX"/>
        </w:rPr>
        <w:t xml:space="preserve"> amplía la canasta básica alimentaria (CBA) al considerar los bienes y</w:t>
      </w:r>
      <w:r>
        <w:rPr>
          <w:lang w:val="es-MX"/>
        </w:rPr>
        <w:t xml:space="preserve"> </w:t>
      </w:r>
      <w:r w:rsidRPr="009C3990">
        <w:rPr>
          <w:lang w:val="es-MX"/>
        </w:rPr>
        <w:t>servicios no alimentarios tales como vestimenta, transporte, educación, salud, vivienda, etcétera.</w:t>
      </w:r>
      <w:r>
        <w:rPr>
          <w:lang w:val="es-MX"/>
        </w:rPr>
        <w:t xml:space="preserve"> </w:t>
      </w:r>
      <w:r w:rsidRPr="009C3990">
        <w:rPr>
          <w:lang w:val="es-MX"/>
        </w:rPr>
        <w:t>La CBT se obtiene a partir del valor de la CBA, multiplicándolo por un coeficiente que muestra la relación</w:t>
      </w:r>
      <w:r>
        <w:rPr>
          <w:lang w:val="es-MX"/>
        </w:rPr>
        <w:t xml:space="preserve"> </w:t>
      </w:r>
      <w:r w:rsidRPr="009C3990">
        <w:rPr>
          <w:lang w:val="es-MX"/>
        </w:rPr>
        <w:t>existente entre los gastos totales, respecto de los gastos alimentarios observados en la población</w:t>
      </w:r>
      <w:r>
        <w:rPr>
          <w:lang w:val="es-MX"/>
        </w:rPr>
        <w:t xml:space="preserve"> </w:t>
      </w:r>
      <w:r w:rsidRPr="009C3990">
        <w:rPr>
          <w:lang w:val="es-MX"/>
        </w:rPr>
        <w:t xml:space="preserve">de referencia que surge de la </w:t>
      </w:r>
      <w:proofErr w:type="spellStart"/>
      <w:r w:rsidRPr="009C3990">
        <w:rPr>
          <w:lang w:val="es-MX"/>
        </w:rPr>
        <w:t>ENGHo</w:t>
      </w:r>
      <w:proofErr w:type="spellEnd"/>
      <w:r w:rsidRPr="009C3990">
        <w:rPr>
          <w:lang w:val="es-MX"/>
        </w:rPr>
        <w:t>, actualizado mes a mes por los índices del Gran Buenos Aires.</w:t>
      </w:r>
    </w:p>
    <w:p w:rsidR="00052129" w:rsidRDefault="00052129" w:rsidP="004546B0">
      <w:pPr>
        <w:spacing w:after="0" w:line="240" w:lineRule="auto"/>
        <w:jc w:val="both"/>
        <w:rPr>
          <w:lang w:val="es-MX"/>
        </w:rPr>
      </w:pPr>
    </w:p>
    <w:p w:rsidR="00052129" w:rsidRDefault="00052129" w:rsidP="004546B0">
      <w:pPr>
        <w:spacing w:after="0" w:line="240" w:lineRule="auto"/>
        <w:jc w:val="both"/>
        <w:rPr>
          <w:lang w:val="es-MX"/>
        </w:rPr>
      </w:pPr>
    </w:p>
    <w:p w:rsidR="00052129" w:rsidRPr="00052129" w:rsidRDefault="00052129" w:rsidP="00052129">
      <w:pPr>
        <w:spacing w:after="420" w:line="240" w:lineRule="auto"/>
        <w:jc w:val="both"/>
        <w:rPr>
          <w:rFonts w:eastAsia="Times New Roman" w:cstheme="minorHAnsi"/>
          <w:color w:val="0C0C0C"/>
          <w:lang w:val="es-ES" w:eastAsia="es-ES"/>
        </w:rPr>
      </w:pPr>
      <w:r w:rsidRPr="00052129">
        <w:rPr>
          <w:rFonts w:eastAsia="Times New Roman" w:cstheme="minorHAnsi"/>
          <w:color w:val="0C0C0C"/>
          <w:lang w:val="es-ES" w:eastAsia="es-ES"/>
        </w:rPr>
        <w:t>Según el </w:t>
      </w:r>
      <w:hyperlink r:id="rId10" w:tgtFrame="_blank" w:history="1">
        <w:r w:rsidRPr="00052129">
          <w:rPr>
            <w:rFonts w:eastAsia="Times New Roman" w:cstheme="minorHAnsi"/>
            <w:b/>
            <w:bCs/>
            <w:i/>
            <w:iCs/>
            <w:color w:val="0C0C0C"/>
            <w:lang w:val="es-ES" w:eastAsia="es-ES"/>
          </w:rPr>
          <w:t>informe</w:t>
        </w:r>
      </w:hyperlink>
      <w:r w:rsidRPr="00052129">
        <w:rPr>
          <w:rFonts w:eastAsia="Times New Roman" w:cstheme="minorHAnsi"/>
          <w:color w:val="0C0C0C"/>
          <w:lang w:val="es-ES" w:eastAsia="es-ES"/>
        </w:rPr>
        <w:t>, ambas presentan una aceleración frente al aumento que registró el mes anterior. En el primer trimestre de 2021, la CBA acumuló 12,7%, mientras la de la CBT resultó en 11,9%. </w:t>
      </w:r>
    </w:p>
    <w:p w:rsidR="00052129" w:rsidRPr="00052129" w:rsidRDefault="00052129" w:rsidP="00052129">
      <w:pPr>
        <w:spacing w:after="420" w:line="240" w:lineRule="auto"/>
        <w:jc w:val="both"/>
        <w:rPr>
          <w:rFonts w:eastAsia="Times New Roman" w:cstheme="minorHAnsi"/>
          <w:color w:val="0C0C0C"/>
          <w:lang w:val="es-ES" w:eastAsia="es-ES"/>
        </w:rPr>
      </w:pPr>
      <w:r w:rsidRPr="00052129">
        <w:rPr>
          <w:rFonts w:eastAsia="Times New Roman" w:cstheme="minorHAnsi"/>
          <w:color w:val="0C0C0C"/>
          <w:lang w:val="es-ES" w:eastAsia="es-ES"/>
        </w:rPr>
        <w:t>Asimismo, </w:t>
      </w: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la canasta básica alimentaria</w:t>
      </w:r>
      <w:r w:rsidRPr="00052129">
        <w:rPr>
          <w:rFonts w:eastAsia="Times New Roman" w:cstheme="minorHAnsi"/>
          <w:color w:val="0C0C0C"/>
          <w:lang w:val="es-ES" w:eastAsia="es-ES"/>
        </w:rPr>
        <w:t>, determinada por los requerimientos normativos kilos calóricos y proteicos imprescindibles para que un varón adulto cubra esas necesidades durante un mes, </w:t>
      </w: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tuvo una variación interanual de 48% y se situó en $8.312</w:t>
      </w:r>
      <w:r w:rsidRPr="00052129">
        <w:rPr>
          <w:rFonts w:eastAsia="Times New Roman" w:cstheme="minorHAnsi"/>
          <w:color w:val="0C0C0C"/>
          <w:lang w:val="es-ES" w:eastAsia="es-ES"/>
        </w:rPr>
        <w:t>. A su vez, una familia tipo conformada por dos adultos y dos hijos menores de seis y ocho años, necesitó percibir $25.685 para no encontrarse por debajo de la línea de indigencia.</w:t>
      </w:r>
    </w:p>
    <w:p w:rsidR="00052129" w:rsidRPr="00052129" w:rsidRDefault="00052129" w:rsidP="00052129">
      <w:pPr>
        <w:spacing w:after="420" w:line="240" w:lineRule="auto"/>
        <w:jc w:val="both"/>
        <w:rPr>
          <w:rFonts w:eastAsia="Times New Roman" w:cstheme="minorHAnsi"/>
          <w:color w:val="0C0C0C"/>
          <w:lang w:val="es-ES" w:eastAsia="es-ES"/>
        </w:rPr>
      </w:pPr>
      <w:r w:rsidRPr="00052129">
        <w:rPr>
          <w:rFonts w:eastAsia="Times New Roman" w:cstheme="minorHAnsi"/>
          <w:color w:val="0C0C0C"/>
          <w:lang w:val="es-ES" w:eastAsia="es-ES"/>
        </w:rPr>
        <w:t>Por su parte, </w:t>
      </w: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la canasta básica total</w:t>
      </w:r>
      <w:r w:rsidRPr="00052129">
        <w:rPr>
          <w:rFonts w:eastAsia="Times New Roman" w:cstheme="minorHAnsi"/>
          <w:color w:val="0C0C0C"/>
          <w:lang w:val="es-ES" w:eastAsia="es-ES"/>
        </w:rPr>
        <w:t> (la CBA ampliada y considerando los bienes y servicios no alimentarios), </w:t>
      </w: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tuvo una variación interanual de 45%</w:t>
      </w:r>
      <w:r w:rsidRPr="00052129">
        <w:rPr>
          <w:rFonts w:eastAsia="Times New Roman" w:cstheme="minorHAnsi"/>
          <w:color w:val="0C0C0C"/>
          <w:lang w:val="es-ES" w:eastAsia="es-ES"/>
        </w:rPr>
        <w:t>. La misma familia tipo necesitó $60.874 para no ser considerada pobre, mientras que una familia de 5 integrantes requirió de $64.026. Para un adulto, </w:t>
      </w: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la CBT se ubicó en $19.700</w:t>
      </w:r>
      <w:r w:rsidRPr="00052129">
        <w:rPr>
          <w:rFonts w:eastAsia="Times New Roman" w:cstheme="minorHAnsi"/>
          <w:color w:val="0C0C0C"/>
          <w:lang w:val="es-ES" w:eastAsia="es-ES"/>
        </w:rPr>
        <w:t>.</w:t>
      </w:r>
    </w:p>
    <w:p w:rsidR="00052129" w:rsidRPr="00052129" w:rsidRDefault="00052129" w:rsidP="00052129">
      <w:pPr>
        <w:spacing w:after="0" w:line="240" w:lineRule="auto"/>
        <w:rPr>
          <w:rFonts w:eastAsia="Times New Roman" w:cstheme="minorHAnsi"/>
          <w:lang w:val="es-ES" w:eastAsia="es-ES"/>
        </w:rPr>
      </w:pPr>
      <w:r w:rsidRPr="00052129">
        <w:rPr>
          <w:rFonts w:eastAsia="Times New Roman" w:cstheme="minorHAnsi"/>
          <w:i/>
          <w:iCs/>
          <w:noProof/>
          <w:color w:val="0C0C0C"/>
          <w:lang w:val="es-ES" w:eastAsia="es-ES"/>
        </w:rPr>
        <w:lastRenderedPageBreak/>
        <w:drawing>
          <wp:inline distT="0" distB="0" distL="0" distR="0" wp14:anchorId="7EE19933" wp14:editId="2FBF2A4C">
            <wp:extent cx="11934825" cy="6115050"/>
            <wp:effectExtent l="0" t="0" r="9525" b="0"/>
            <wp:docPr id="1" name="Imagen 1" descr="canasta basica marz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sta basica marz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8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29" w:rsidRPr="00052129" w:rsidRDefault="00052129" w:rsidP="00052129">
      <w:pPr>
        <w:spacing w:after="420" w:line="240" w:lineRule="auto"/>
        <w:jc w:val="both"/>
        <w:rPr>
          <w:rFonts w:eastAsia="Times New Roman" w:cstheme="minorHAnsi"/>
          <w:color w:val="0C0C0C"/>
          <w:lang w:val="es-ES" w:eastAsia="es-ES"/>
        </w:rPr>
      </w:pPr>
      <w:r w:rsidRPr="00052129">
        <w:rPr>
          <w:rFonts w:eastAsia="Times New Roman" w:cstheme="minorHAnsi"/>
          <w:b/>
          <w:bCs/>
          <w:color w:val="0C0C0C"/>
          <w:lang w:val="es-ES" w:eastAsia="es-ES"/>
        </w:rPr>
        <w:t>El aumento de la canasta total se ubicó por encima del mismo nivel del incremento de los precios minoristas</w:t>
      </w:r>
      <w:r w:rsidRPr="00052129">
        <w:rPr>
          <w:rFonts w:eastAsia="Times New Roman" w:cstheme="minorHAnsi"/>
          <w:color w:val="0C0C0C"/>
          <w:lang w:val="es-ES" w:eastAsia="es-ES"/>
        </w:rPr>
        <w:t>, que fue del 4,8%. En febrero fue  la primera vez en seis meses que los incrementos que sufrieron ambas canastas no superaron la </w:t>
      </w:r>
      <w:hyperlink r:id="rId13" w:tgtFrame="_blank" w:history="1">
        <w:r w:rsidRPr="00052129">
          <w:rPr>
            <w:rFonts w:eastAsia="Times New Roman" w:cstheme="minorHAnsi"/>
            <w:b/>
            <w:bCs/>
            <w:i/>
            <w:iCs/>
            <w:color w:val="0C0C0C"/>
            <w:lang w:val="es-ES" w:eastAsia="es-ES"/>
          </w:rPr>
          <w:t>inflación</w:t>
        </w:r>
      </w:hyperlink>
      <w:r w:rsidRPr="00052129">
        <w:rPr>
          <w:rFonts w:eastAsia="Times New Roman" w:cstheme="minorHAnsi"/>
          <w:color w:val="0C0C0C"/>
          <w:lang w:val="es-ES" w:eastAsia="es-ES"/>
        </w:rPr>
        <w:t>, pero no se pudo mantener esa tendencia en marzo.</w:t>
      </w:r>
    </w:p>
    <w:p w:rsidR="00052129" w:rsidRPr="00052129" w:rsidRDefault="00052129" w:rsidP="0005212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05212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Publicidad</w:t>
      </w:r>
    </w:p>
    <w:p w:rsidR="00052129" w:rsidRDefault="00052129" w:rsidP="004546B0">
      <w:pPr>
        <w:spacing w:after="0" w:line="240" w:lineRule="auto"/>
        <w:jc w:val="both"/>
        <w:rPr>
          <w:lang w:val="es-MX"/>
        </w:rPr>
      </w:pPr>
    </w:p>
    <w:p w:rsidR="00052129" w:rsidRDefault="00052129" w:rsidP="004546B0">
      <w:pPr>
        <w:spacing w:after="0" w:line="240" w:lineRule="auto"/>
        <w:jc w:val="both"/>
        <w:rPr>
          <w:lang w:val="es-MX"/>
        </w:rPr>
      </w:pPr>
    </w:p>
    <w:p w:rsidR="00052129" w:rsidRDefault="00052129" w:rsidP="004546B0">
      <w:pPr>
        <w:spacing w:after="0" w:line="240" w:lineRule="auto"/>
        <w:jc w:val="both"/>
        <w:rPr>
          <w:lang w:val="es-MX"/>
        </w:rPr>
      </w:pP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</w:p>
    <w:p w:rsidR="004546B0" w:rsidRPr="009C399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>De esta forma:</w:t>
      </w:r>
    </w:p>
    <w:p w:rsidR="004546B0" w:rsidRPr="009C3990" w:rsidRDefault="004546B0" w:rsidP="004546B0">
      <w:pPr>
        <w:spacing w:after="0" w:line="240" w:lineRule="auto"/>
        <w:jc w:val="center"/>
        <w:rPr>
          <w:lang w:val="es-MX"/>
        </w:rPr>
      </w:pPr>
      <w:r w:rsidRPr="009C3990">
        <w:rPr>
          <w:lang w:val="es-MX"/>
        </w:rPr>
        <w:t>CBT = Valor de la CBA x ICE</w:t>
      </w: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</w:p>
    <w:p w:rsidR="004546B0" w:rsidRDefault="004546B0" w:rsidP="004546B0">
      <w:pPr>
        <w:spacing w:after="0" w:line="240" w:lineRule="auto"/>
        <w:jc w:val="both"/>
        <w:rPr>
          <w:lang w:val="es-MX"/>
        </w:rPr>
      </w:pPr>
      <w:r w:rsidRPr="009C3990">
        <w:rPr>
          <w:lang w:val="es-MX"/>
        </w:rPr>
        <w:t xml:space="preserve">Se denomina “ICE” a la inversa del coeficiente de Engel. El coeficiente de </w:t>
      </w:r>
      <w:proofErr w:type="spellStart"/>
      <w:r w:rsidRPr="009C3990">
        <w:rPr>
          <w:lang w:val="es-MX"/>
        </w:rPr>
        <w:t>Engel</w:t>
      </w:r>
      <w:proofErr w:type="spellEnd"/>
      <w:r w:rsidRPr="009C3990">
        <w:rPr>
          <w:lang w:val="es-MX"/>
        </w:rPr>
        <w:t xml:space="preserve"> se define como la</w:t>
      </w:r>
      <w:r>
        <w:rPr>
          <w:lang w:val="es-MX"/>
        </w:rPr>
        <w:t xml:space="preserve"> </w:t>
      </w:r>
      <w:r w:rsidRPr="009C3990">
        <w:rPr>
          <w:lang w:val="es-MX"/>
        </w:rPr>
        <w:t xml:space="preserve">relación entre los gastos alimentarios y los gastos totales observados en la población de </w:t>
      </w:r>
      <w:r w:rsidRPr="009C3990">
        <w:rPr>
          <w:lang w:val="es-MX"/>
        </w:rPr>
        <w:lastRenderedPageBreak/>
        <w:t>referencia.</w:t>
      </w:r>
      <w:r>
        <w:rPr>
          <w:lang w:val="es-MX"/>
        </w:rPr>
        <w:t xml:space="preserve"> </w:t>
      </w:r>
      <w:r w:rsidRPr="009C3990">
        <w:rPr>
          <w:lang w:val="es-MX"/>
        </w:rPr>
        <w:t>A modo de ejemplo, co</w:t>
      </w:r>
      <w:r w:rsidR="00782BD1">
        <w:rPr>
          <w:lang w:val="es-MX"/>
        </w:rPr>
        <w:t>nsideremos que, en marzo de 2021</w:t>
      </w:r>
      <w:r w:rsidRPr="009C3990">
        <w:rPr>
          <w:lang w:val="es-MX"/>
        </w:rPr>
        <w:t>, la CBA por adulto equivalente era de</w:t>
      </w:r>
      <w:r>
        <w:rPr>
          <w:lang w:val="es-MX"/>
        </w:rPr>
        <w:t xml:space="preserve"> </w:t>
      </w:r>
      <w:r w:rsidR="00782BD1">
        <w:rPr>
          <w:lang w:val="es-MX"/>
        </w:rPr>
        <w:t>$8312</w:t>
      </w:r>
      <w:r w:rsidRPr="009C3990">
        <w:rPr>
          <w:lang w:val="es-MX"/>
        </w:rPr>
        <w:t xml:space="preserve">. Si el valor de los gastos alimentarios </w:t>
      </w:r>
      <w:r w:rsidR="00620332">
        <w:rPr>
          <w:lang w:val="es-MX"/>
        </w:rPr>
        <w:t>representaba alrededor del 48</w:t>
      </w:r>
      <w:r w:rsidRPr="009C3990">
        <w:rPr>
          <w:lang w:val="es-MX"/>
        </w:rPr>
        <w:t>% del gasto total de</w:t>
      </w:r>
      <w:r>
        <w:rPr>
          <w:lang w:val="es-MX"/>
        </w:rPr>
        <w:t xml:space="preserve"> </w:t>
      </w:r>
      <w:r w:rsidRPr="009C3990">
        <w:rPr>
          <w:lang w:val="es-MX"/>
        </w:rPr>
        <w:t>los hog</w:t>
      </w:r>
      <w:r w:rsidR="001267EF">
        <w:rPr>
          <w:lang w:val="es-MX"/>
        </w:rPr>
        <w:t>ares, entonces la ICE es de 2,37</w:t>
      </w:r>
      <w:r w:rsidRPr="009C3990">
        <w:rPr>
          <w:lang w:val="es-MX"/>
        </w:rPr>
        <w:t xml:space="preserve"> (10</w:t>
      </w:r>
      <w:r w:rsidR="001267EF">
        <w:rPr>
          <w:lang w:val="es-MX"/>
        </w:rPr>
        <w:t>0% / 48</w:t>
      </w:r>
      <w:r w:rsidRPr="009C3990">
        <w:rPr>
          <w:lang w:val="es-MX"/>
        </w:rPr>
        <w:t>%). Por lo tanto, el valor de la CBT resulta de</w:t>
      </w:r>
      <w:r>
        <w:rPr>
          <w:lang w:val="es-MX"/>
        </w:rPr>
        <w:t xml:space="preserve"> </w:t>
      </w:r>
      <w:r w:rsidR="001267EF">
        <w:rPr>
          <w:lang w:val="es-MX"/>
        </w:rPr>
        <w:t>$19.700.</w:t>
      </w:r>
      <w:r w:rsidRPr="009C3990">
        <w:rPr>
          <w:lang w:val="es-MX"/>
        </w:rPr>
        <w:t xml:space="preserve"> p</w:t>
      </w:r>
      <w:r w:rsidR="001267EF">
        <w:rPr>
          <w:lang w:val="es-MX"/>
        </w:rPr>
        <w:t>or adulto equivalente ($8312 x 2,37</w:t>
      </w:r>
      <w:r w:rsidRPr="009C3990">
        <w:rPr>
          <w:lang w:val="es-MX"/>
        </w:rPr>
        <w:t>).</w:t>
      </w:r>
    </w:p>
    <w:p w:rsidR="004546B0" w:rsidRDefault="004546B0" w:rsidP="004546B0">
      <w:pPr>
        <w:spacing w:after="0" w:line="240" w:lineRule="auto"/>
        <w:rPr>
          <w:lang w:val="es-MX"/>
        </w:rPr>
      </w:pPr>
    </w:p>
    <w:p w:rsidR="007B2FD4" w:rsidRPr="007B2FD4" w:rsidRDefault="007B2FD4" w:rsidP="006D6F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339FC" w:rsidRDefault="004562EB" w:rsidP="004546B0">
      <w:pPr>
        <w:autoSpaceDE w:val="0"/>
        <w:autoSpaceDN w:val="0"/>
        <w:adjustRightInd w:val="0"/>
        <w:spacing w:before="280" w:after="100" w:line="321" w:lineRule="atLeast"/>
        <w:jc w:val="center"/>
        <w:rPr>
          <w:rFonts w:ascii="HelveticaNeueLT Std" w:hAnsi="HelveticaNeueLT Std" w:cs="HelveticaNeueLT Std"/>
          <w:color w:val="000000"/>
          <w:sz w:val="17"/>
          <w:szCs w:val="17"/>
        </w:rPr>
      </w:pPr>
      <w:r>
        <w:t>Valorización mensual de la canasta básica alimentaria y de la canasta básica total. Gran Buenos Aires Marzo de 2021 ISSN 2545-6636 Condiciones de vida Vol. 5, n° 5 Informes técnicos / Vol. 5, n° 72</w:t>
      </w:r>
    </w:p>
    <w:p w:rsidR="00475EEB" w:rsidRDefault="00E1643A">
      <w:r>
        <w:rPr>
          <w:noProof/>
          <w:lang w:val="es-ES" w:eastAsia="es-ES"/>
        </w:rPr>
        <w:drawing>
          <wp:inline distT="0" distB="0" distL="0" distR="0">
            <wp:extent cx="5400040" cy="6932393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1" w:rsidRDefault="00E1643A">
      <w:r>
        <w:rPr>
          <w:noProof/>
          <w:lang w:val="es-ES" w:eastAsia="es-ES"/>
        </w:rPr>
        <w:lastRenderedPageBreak/>
        <w:drawing>
          <wp:inline distT="0" distB="0" distL="0" distR="0">
            <wp:extent cx="6257925" cy="83534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52" cy="83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972175" cy="86582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88" cy="866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6248400" cy="863916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247673" cy="86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6124574" cy="7858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79" cy="78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67375" cy="8477249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34" cy="84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6124575" cy="798194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49" cy="79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1" w:rsidRDefault="00095F21"/>
    <w:p w:rsidR="00095F21" w:rsidRDefault="00095F21"/>
    <w:sectPr w:rsidR="00095F21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F1" w:rsidRDefault="004D6FF1" w:rsidP="00DF63FB">
      <w:pPr>
        <w:spacing w:after="0" w:line="240" w:lineRule="auto"/>
      </w:pPr>
      <w:r>
        <w:separator/>
      </w:r>
    </w:p>
  </w:endnote>
  <w:endnote w:type="continuationSeparator" w:id="0">
    <w:p w:rsidR="004D6FF1" w:rsidRDefault="004D6FF1" w:rsidP="00DF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7EF" w:rsidRDefault="00A04E19" w:rsidP="00CC67EF">
    <w:pPr>
      <w:pStyle w:val="Piedepgina"/>
      <w:pBdr>
        <w:top w:val="thinThickSmallGap" w:sz="24" w:space="1" w:color="E36C0A" w:themeColor="accent6" w:themeShade="BF"/>
      </w:pBdr>
      <w:jc w:val="center"/>
    </w:pPr>
    <w:r>
      <w:t xml:space="preserve">PAGINA N° </w:t>
    </w:r>
    <w:sdt>
      <w:sdtPr>
        <w:id w:val="109783133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84E63" w:rsidRPr="00184E63">
          <w:rPr>
            <w:noProof/>
            <w:lang w:val="es-ES"/>
          </w:rPr>
          <w:t>10</w:t>
        </w:r>
        <w:r>
          <w:fldChar w:fldCharType="end"/>
        </w:r>
      </w:sdtContent>
    </w:sdt>
  </w:p>
  <w:p w:rsidR="00CC67EF" w:rsidRPr="00CC67EF" w:rsidRDefault="004D6FF1" w:rsidP="00CC67EF">
    <w:pPr>
      <w:spacing w:after="0"/>
      <w:ind w:right="10466"/>
      <w:jc w:val="both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F1" w:rsidRDefault="004D6FF1" w:rsidP="00DF63FB">
      <w:pPr>
        <w:spacing w:after="0" w:line="240" w:lineRule="auto"/>
      </w:pPr>
      <w:r>
        <w:separator/>
      </w:r>
    </w:p>
  </w:footnote>
  <w:footnote w:type="continuationSeparator" w:id="0">
    <w:p w:rsidR="004D6FF1" w:rsidRDefault="004D6FF1" w:rsidP="00DF6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7EF" w:rsidRPr="00CC67EF" w:rsidRDefault="00A04E19" w:rsidP="00CC67EF">
    <w:pPr>
      <w:pStyle w:val="Default"/>
      <w:pBdr>
        <w:bottom w:val="thinThickSmallGap" w:sz="24" w:space="1" w:color="E36C0A" w:themeColor="accent6" w:themeShade="BF"/>
      </w:pBdr>
      <w:jc w:val="center"/>
      <w:rPr>
        <w:sz w:val="28"/>
        <w:szCs w:val="28"/>
      </w:rPr>
    </w:pPr>
    <w:r>
      <w:rPr>
        <w:b/>
        <w:bCs/>
        <w:sz w:val="28"/>
        <w:szCs w:val="28"/>
      </w:rPr>
      <w:t>Escuela de Comercio N°1 "Prof. José A. Casas"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740C"/>
    <w:multiLevelType w:val="hybridMultilevel"/>
    <w:tmpl w:val="6944CB38"/>
    <w:lvl w:ilvl="0" w:tplc="D58618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DC"/>
    <w:rsid w:val="00052129"/>
    <w:rsid w:val="00095F21"/>
    <w:rsid w:val="000B5AC2"/>
    <w:rsid w:val="000C47F3"/>
    <w:rsid w:val="001267EF"/>
    <w:rsid w:val="00172CDC"/>
    <w:rsid w:val="00184E63"/>
    <w:rsid w:val="002279EA"/>
    <w:rsid w:val="002C355D"/>
    <w:rsid w:val="00300342"/>
    <w:rsid w:val="003E4646"/>
    <w:rsid w:val="004546B0"/>
    <w:rsid w:val="004562EB"/>
    <w:rsid w:val="00463DE3"/>
    <w:rsid w:val="00475EEB"/>
    <w:rsid w:val="004D0421"/>
    <w:rsid w:val="004D6883"/>
    <w:rsid w:val="004D6FF1"/>
    <w:rsid w:val="0053017A"/>
    <w:rsid w:val="00586DBE"/>
    <w:rsid w:val="00620332"/>
    <w:rsid w:val="006A7F56"/>
    <w:rsid w:val="006D6FD1"/>
    <w:rsid w:val="007339FC"/>
    <w:rsid w:val="00782BD1"/>
    <w:rsid w:val="007B2FD4"/>
    <w:rsid w:val="007C39D5"/>
    <w:rsid w:val="008979D9"/>
    <w:rsid w:val="009C4BFF"/>
    <w:rsid w:val="00A04E19"/>
    <w:rsid w:val="00AC1027"/>
    <w:rsid w:val="00AD530D"/>
    <w:rsid w:val="00CF31B9"/>
    <w:rsid w:val="00D043DA"/>
    <w:rsid w:val="00D83BAE"/>
    <w:rsid w:val="00DF63FB"/>
    <w:rsid w:val="00E1643A"/>
    <w:rsid w:val="00E6427A"/>
    <w:rsid w:val="00EE064F"/>
    <w:rsid w:val="00F3655F"/>
    <w:rsid w:val="00F8578F"/>
    <w:rsid w:val="00FB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6B0"/>
    <w:pPr>
      <w:spacing w:after="160" w:line="259" w:lineRule="auto"/>
    </w:pPr>
    <w:rPr>
      <w:lang w:val="es-AR"/>
    </w:rPr>
  </w:style>
  <w:style w:type="paragraph" w:styleId="Ttulo1">
    <w:name w:val="heading 1"/>
    <w:next w:val="Normal"/>
    <w:link w:val="Ttulo1Car"/>
    <w:uiPriority w:val="9"/>
    <w:qFormat/>
    <w:rsid w:val="00E6427A"/>
    <w:pPr>
      <w:keepNext/>
      <w:keepLines/>
      <w:spacing w:after="0" w:line="259" w:lineRule="auto"/>
      <w:ind w:left="2268" w:hanging="10"/>
      <w:outlineLvl w:val="0"/>
    </w:pPr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46B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46B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4546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E6427A"/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table" w:customStyle="1" w:styleId="TableGrid">
    <w:name w:val="TableGrid"/>
    <w:rsid w:val="00E6427A"/>
    <w:pPr>
      <w:spacing w:after="0" w:line="240" w:lineRule="auto"/>
    </w:pPr>
    <w:rPr>
      <w:rFonts w:eastAsiaTheme="minorEastAsia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64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27A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27A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DF6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3FB"/>
    <w:rPr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6B0"/>
    <w:pPr>
      <w:spacing w:after="160" w:line="259" w:lineRule="auto"/>
    </w:pPr>
    <w:rPr>
      <w:lang w:val="es-AR"/>
    </w:rPr>
  </w:style>
  <w:style w:type="paragraph" w:styleId="Ttulo1">
    <w:name w:val="heading 1"/>
    <w:next w:val="Normal"/>
    <w:link w:val="Ttulo1Car"/>
    <w:uiPriority w:val="9"/>
    <w:qFormat/>
    <w:rsid w:val="00E6427A"/>
    <w:pPr>
      <w:keepNext/>
      <w:keepLines/>
      <w:spacing w:after="0" w:line="259" w:lineRule="auto"/>
      <w:ind w:left="2268" w:hanging="10"/>
      <w:outlineLvl w:val="0"/>
    </w:pPr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46B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46B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4546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E6427A"/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table" w:customStyle="1" w:styleId="TableGrid">
    <w:name w:val="TableGrid"/>
    <w:rsid w:val="00E6427A"/>
    <w:pPr>
      <w:spacing w:after="0" w:line="240" w:lineRule="auto"/>
    </w:pPr>
    <w:rPr>
      <w:rFonts w:eastAsiaTheme="minorEastAsia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64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27A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27A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DF6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3FB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7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dec.gob.ar/ftp/cuadros/sociedad/preguntas_frecuentes_cba_cbt.pdf" TargetMode="External"/><Relationship Id="rId13" Type="http://schemas.openxmlformats.org/officeDocument/2006/relationships/hyperlink" Target="https://eleconomista.com.ar/tag/inflacion/" TargetMode="External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leconomista.com.ar/wp-content/uploads/2021/04/canasta-basica-marzo.p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s://www.indec.gob.ar/uploads/informesdeprensa/canasta_04_21EDC756AEAE.pdf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www.indec.gob.ar/uploads/informesdeprensa/canasta_09_20441EFD2654.pdf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10</Pages>
  <Words>1091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</dc:creator>
  <cp:lastModifiedBy>walte</cp:lastModifiedBy>
  <cp:revision>17</cp:revision>
  <dcterms:created xsi:type="dcterms:W3CDTF">2021-06-13T01:53:00Z</dcterms:created>
  <dcterms:modified xsi:type="dcterms:W3CDTF">2021-06-18T23:57:00Z</dcterms:modified>
</cp:coreProperties>
</file>